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755" w:tblpY="-210"/>
        <w:tblW w:w="11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  <w:gridCol w:w="269"/>
        <w:gridCol w:w="269"/>
        <w:gridCol w:w="284"/>
      </w:tblGrid>
      <w:tr w:rsidR="00A11BEA" w:rsidRPr="00A11BEA" w:rsidTr="00A11BEA">
        <w:trPr>
          <w:tblCellSpacing w:w="15" w:type="dxa"/>
        </w:trPr>
        <w:tc>
          <w:tcPr>
            <w:tcW w:w="4609" w:type="pct"/>
            <w:shd w:val="clear" w:color="auto" w:fill="FFFFFF"/>
            <w:vAlign w:val="bottom"/>
            <w:hideMark/>
          </w:tcPr>
          <w:p w:rsidR="00A11BEA" w:rsidRPr="00A11BEA" w:rsidRDefault="00A11BEA" w:rsidP="00A1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 xml:space="preserve">   </w:t>
            </w:r>
          </w:p>
        </w:tc>
        <w:tc>
          <w:tcPr>
            <w:tcW w:w="108" w:type="pct"/>
            <w:shd w:val="clear" w:color="auto" w:fill="FFFFFF"/>
            <w:vAlign w:val="center"/>
            <w:hideMark/>
          </w:tcPr>
          <w:p w:rsidR="00A11BEA" w:rsidRPr="00A11BEA" w:rsidRDefault="00A11BEA" w:rsidP="00A11B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08" w:type="pct"/>
            <w:shd w:val="clear" w:color="auto" w:fill="FFFFFF"/>
            <w:vAlign w:val="center"/>
            <w:hideMark/>
          </w:tcPr>
          <w:p w:rsidR="00A11BEA" w:rsidRPr="00A11BEA" w:rsidRDefault="00A11BEA" w:rsidP="00A11B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08" w:type="pct"/>
            <w:shd w:val="clear" w:color="auto" w:fill="FFFFFF"/>
            <w:vAlign w:val="center"/>
            <w:hideMark/>
          </w:tcPr>
          <w:p w:rsidR="00A11BEA" w:rsidRPr="00A11BEA" w:rsidRDefault="00A11BEA" w:rsidP="00A11B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A11BEA" w:rsidRPr="00A11BEA" w:rsidRDefault="00A11BEA" w:rsidP="00A11BEA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A11BE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43FDF392" wp14:editId="0076087A">
            <wp:extent cx="3017157" cy="2118167"/>
            <wp:effectExtent l="0" t="0" r="0" b="0"/>
            <wp:docPr id="4" name="Рисунок 4" descr="photo big">
              <a:hlinkClick xmlns:a="http://schemas.openxmlformats.org/drawingml/2006/main" r:id="rId6" tgtFrame="_blank" tooltip="photo bi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57" cy="21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EA" w:rsidRPr="00A11BEA" w:rsidRDefault="00A11BEA" w:rsidP="00A11BEA">
      <w:pPr>
        <w:pStyle w:val="1"/>
        <w:jc w:val="center"/>
        <w:rPr>
          <w:color w:val="FF0000"/>
          <w:sz w:val="48"/>
          <w:szCs w:val="48"/>
          <w:lang w:val="uk-UA"/>
        </w:rPr>
      </w:pPr>
      <w:r w:rsidRPr="00A11BEA">
        <w:rPr>
          <w:color w:val="FF0000"/>
          <w:sz w:val="48"/>
          <w:szCs w:val="48"/>
          <w:lang w:val="uk-UA"/>
        </w:rPr>
        <w:t>16 днів проти насильства</w:t>
      </w:r>
    </w:p>
    <w:p w:rsidR="00A11BEA" w:rsidRPr="00A11BEA" w:rsidRDefault="00A11BEA" w:rsidP="00A11BEA">
      <w:pPr>
        <w:pStyle w:val="1"/>
        <w:jc w:val="center"/>
        <w:rPr>
          <w:color w:val="FF0000"/>
          <w:sz w:val="56"/>
          <w:szCs w:val="56"/>
          <w:u w:val="single"/>
          <w:lang w:val="uk-UA"/>
        </w:rPr>
      </w:pPr>
      <w:r w:rsidRPr="00A11BEA">
        <w:rPr>
          <w:color w:val="FF0000"/>
          <w:sz w:val="56"/>
          <w:szCs w:val="56"/>
          <w:u w:val="single"/>
          <w:lang w:val="uk-UA"/>
        </w:rPr>
        <w:t>РАДИМО ПРОЧИТАТИ</w:t>
      </w:r>
    </w:p>
    <w:p w:rsidR="00A11BEA" w:rsidRDefault="00A11BEA" w:rsidP="00A11BEA">
      <w:pPr>
        <w:rPr>
          <w:lang w:val="uk-UA"/>
        </w:rPr>
      </w:pPr>
    </w:p>
    <w:p w:rsidR="00A11BEA" w:rsidRPr="00A11BEA" w:rsidRDefault="00A11BEA" w:rsidP="00A11BEA">
      <w:pPr>
        <w:jc w:val="center"/>
        <w:rPr>
          <w:lang w:val="uk-UA"/>
        </w:rPr>
      </w:pPr>
      <w:r w:rsidRPr="001F7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81202" wp14:editId="08D7A64E">
            <wp:extent cx="2985342" cy="1805650"/>
            <wp:effectExtent l="0" t="0" r="5715" b="4445"/>
            <wp:docPr id="1" name="Рисунок 1" descr="http://kor-rada.gov.ua/wp-content/uploads/2017/10/NA-SAJT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-rada.gov.ua/wp-content/uploads/2017/10/NA-SAJT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81" cy="18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vanish/>
          <w:sz w:val="32"/>
          <w:szCs w:val="32"/>
        </w:rPr>
      </w:pPr>
    </w:p>
    <w:p w:rsidR="00A11BEA" w:rsidRPr="00A11BEA" w:rsidRDefault="00A11BEA" w:rsidP="00A11B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11B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Насильство у сім'ї </w:t>
      </w:r>
      <w:r w:rsidR="00296A05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 xml:space="preserve"> </w:t>
      </w:r>
      <w:r w:rsidRPr="00A11B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як </w:t>
      </w:r>
      <w:proofErr w:type="gramStart"/>
      <w:r w:rsidRPr="00A11B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соц</w:t>
      </w:r>
      <w:proofErr w:type="gramEnd"/>
      <w:r w:rsidRPr="00A11B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іальна проблема в Україні</w:t>
      </w:r>
    </w:p>
    <w:p w:rsid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11BEA">
        <w:rPr>
          <w:rFonts w:ascii="Times New Roman" w:hAnsi="Times New Roman" w:cs="Times New Roman"/>
          <w:sz w:val="24"/>
          <w:szCs w:val="24"/>
        </w:rPr>
        <w:t xml:space="preserve">Зазвичай існує широко розповсюджений міф, що насильство в родинах - це проблема тільки неблагополучних родин, і майже завжди сімейне насильство пов'язане з пияцтвом і бідністю. Однак за деякими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ідженнями це зовсім не так. Насильство властиве для всіх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іальних груп і не залежить від економічного становища родини в цілому. Приємно вражає той факт що, домашнє насильство вважають злочином всі респондентки віком до 15 років - 100.0%; 86.5% - віком 15-20 років; 88.5% - віком 20-35 років і 87.9% - віком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ісля 35 років.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11BEA">
        <w:rPr>
          <w:rFonts w:ascii="Times New Roman" w:hAnsi="Times New Roman" w:cs="Times New Roman"/>
          <w:sz w:val="24"/>
          <w:szCs w:val="24"/>
        </w:rPr>
        <w:t xml:space="preserve">В Україні проблема домашнього насильства практично не вивчалася. Тільки протягом останнього часу теми насильства у родині стали предметом публічного обговорення. Для того, щоб перемогти реальне зло, його треба зазнати, відкрито обговорити проблему та шукати шляхи вирішення. За даними Інституту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іологічних досліджень НАН, 68 відсотків жінок в зазнають знущання в сім'ї, з них чверть "як правило" або "часто" потерпає від побоїв. Кожна десята дівчина зазнає постійного насильства.. За визначенням Закону України "Про попередження насильства в сім'ї", який Верховна Рада України ухвалила 2001 року,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насильство в сім'ї — це "будь-які умисні дії фізичного, сексуального, психологічного чи еконо</w:t>
      </w:r>
      <w:r w:rsidRPr="00A11BEA">
        <w:rPr>
          <w:rFonts w:ascii="Times New Roman" w:hAnsi="Times New Roman" w:cs="Times New Roman"/>
          <w:sz w:val="24"/>
          <w:szCs w:val="24"/>
        </w:rPr>
        <w:softHyphen/>
        <w:t>мічного спрямування одного члена сім'ї по відношенню до іншого члена сім'ї, якщо ці дії порушують конституційні права і свободи члена сім'ї як лю</w:t>
      </w:r>
      <w:r w:rsidRPr="00A11BEA">
        <w:rPr>
          <w:rFonts w:ascii="Times New Roman" w:hAnsi="Times New Roman" w:cs="Times New Roman"/>
          <w:sz w:val="24"/>
          <w:szCs w:val="24"/>
        </w:rPr>
        <w:softHyphen/>
        <w:t>дини та громадянина і наносять йому моральну шкоду, шкоду його фізично</w:t>
      </w:r>
      <w:r w:rsidRPr="00A11BEA">
        <w:rPr>
          <w:rFonts w:ascii="Times New Roman" w:hAnsi="Times New Roman" w:cs="Times New Roman"/>
          <w:sz w:val="24"/>
          <w:szCs w:val="24"/>
        </w:rPr>
        <w:softHyphen/>
        <w:t>му чи психічному здоров'ю".</w:t>
      </w:r>
      <w:proofErr w:type="gramEnd"/>
    </w:p>
    <w:p w:rsid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9E5A707" wp14:editId="0A45A10C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1691640" cy="1403985"/>
            <wp:effectExtent l="0" t="0" r="3810" b="5715"/>
            <wp:wrapThrough wrapText="bothSides">
              <wp:wrapPolygon edited="0">
                <wp:start x="0" y="0"/>
                <wp:lineTo x="0" y="21395"/>
                <wp:lineTo x="21405" y="21395"/>
                <wp:lineTo x="21405" y="0"/>
                <wp:lineTo x="0" y="0"/>
              </wp:wrapPolygon>
            </wp:wrapThrough>
            <wp:docPr id="5" name="Рисунок 5" descr="25ec94daba730710e214d0aac10edd07">
              <a:hlinkClick xmlns:a="http://schemas.openxmlformats.org/drawingml/2006/main" r:id="rId9" tgtFrame="_blank" tooltip="25ec94daba730710e214d0aac10edd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ec94daba730710e214d0aac10edd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EA">
        <w:rPr>
          <w:rFonts w:ascii="Times New Roman" w:hAnsi="Times New Roman" w:cs="Times New Roman"/>
          <w:sz w:val="24"/>
          <w:szCs w:val="24"/>
        </w:rPr>
        <w:t xml:space="preserve">Отже, жертвою домашнього насильства може стати будь-хто: жінка, яку постійно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лає і б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'є її чоловік, дівчинка-підліток, що страждає від сексуальних переслідувань свого вітчима, хлопчик, якого лупцює мати-алкоголічка, старенька бабуся, що її ненавидять власні діти.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Закон розрізняє такі види домашнього насильства: фізичне насильство в сім'ї — це навмисне нанесення побоїв, тілесних уш</w:t>
      </w:r>
      <w:r w:rsidRPr="00A11BEA">
        <w:rPr>
          <w:rFonts w:ascii="Times New Roman" w:hAnsi="Times New Roman" w:cs="Times New Roman"/>
          <w:sz w:val="24"/>
          <w:szCs w:val="24"/>
        </w:rPr>
        <w:softHyphen/>
        <w:t>коджень одного члена сім'ї іншому, яке може призвести чи призвело до по</w:t>
      </w:r>
      <w:r w:rsidRPr="00A11BEA">
        <w:rPr>
          <w:rFonts w:ascii="Times New Roman" w:hAnsi="Times New Roman" w:cs="Times New Roman"/>
          <w:sz w:val="24"/>
          <w:szCs w:val="24"/>
        </w:rPr>
        <w:softHyphen/>
        <w:t xml:space="preserve">рушення нормального стану фізичного чи психічного здоров'я або навіть до смерті постраждалого, а також до приниження його честі та гідності.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gramEnd"/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gramStart"/>
      <w:r w:rsidRPr="00A11BEA">
        <w:rPr>
          <w:rFonts w:ascii="Times New Roman" w:hAnsi="Times New Roman" w:cs="Times New Roman"/>
          <w:b/>
          <w:sz w:val="24"/>
          <w:szCs w:val="24"/>
        </w:rPr>
        <w:t>Сексуальне насильство в сім'ї</w:t>
      </w:r>
      <w:r w:rsidRPr="00A11BEA">
        <w:rPr>
          <w:rFonts w:ascii="Times New Roman" w:hAnsi="Times New Roman" w:cs="Times New Roman"/>
          <w:sz w:val="24"/>
          <w:szCs w:val="24"/>
        </w:rPr>
        <w:t xml:space="preserve"> — це примушування до небажаних статевих стосунків у родині, а також сексуальні дії щодо неповнолітнього члена сім'ї. Психологічне насильство в сім'ї — це насильство, пов'язане з тиском од</w:t>
      </w:r>
      <w:r w:rsidRPr="00A11BEA">
        <w:rPr>
          <w:rFonts w:ascii="Times New Roman" w:hAnsi="Times New Roman" w:cs="Times New Roman"/>
          <w:sz w:val="24"/>
          <w:szCs w:val="24"/>
        </w:rPr>
        <w:softHyphen/>
        <w:t>ного члена сім'ї на психіку іншого через навмисні словесні образи або пог</w:t>
      </w:r>
      <w:r w:rsidRPr="00A11BEA">
        <w:rPr>
          <w:rFonts w:ascii="Times New Roman" w:hAnsi="Times New Roman" w:cs="Times New Roman"/>
          <w:sz w:val="24"/>
          <w:szCs w:val="24"/>
        </w:rPr>
        <w:softHyphen/>
        <w:t>рози, переслідування, залякування, які доводять постраждалого до стану емоційно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ї невпевненості, втрати здатності захистити себе і можуть заподі</w:t>
      </w:r>
      <w:r w:rsidRPr="00A11BEA">
        <w:rPr>
          <w:rFonts w:ascii="Times New Roman" w:hAnsi="Times New Roman" w:cs="Times New Roman"/>
          <w:sz w:val="24"/>
          <w:szCs w:val="24"/>
        </w:rPr>
        <w:softHyphen/>
        <w:t xml:space="preserve">яти або заподіяли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шкоду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психічному здоров'ю.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Економічне насильство в сім'ї — це навмисні дії одного члена сім'ї щодо іншого, спрямовані нате, щоб позбавити постраждалого житла, їжі, одягу та іншого майна чи коштів, на які він має законне право.</w:t>
      </w:r>
      <w:proofErr w:type="gramEnd"/>
    </w:p>
    <w:p w:rsid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Такі дії можуть заподіяти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шкоду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фізичному чи психічному здоров'ю або навіть призвести до смерті постраждалого.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11BEA">
        <w:rPr>
          <w:rFonts w:ascii="Times New Roman" w:hAnsi="Times New Roman" w:cs="Times New Roman"/>
          <w:sz w:val="24"/>
          <w:szCs w:val="24"/>
        </w:rPr>
        <w:t xml:space="preserve">Причинами ж того, чому жінки не подають скарг у зв'язку з насильством, є тиск суспільних і родинних обставин та бажання зберегти відносини. Культурні та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ігійні традиції також присутні серед перешкод, що ускладнюють боротьбу з насильством. Вдосконалення правової оцінки насильства в сім'ї багато в чому залежить від усвідомлення громадськістю та самими жінками того, що насильство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 є злочином. Як показали результати опитування, 59 відсотків респонденток потерпають від членів своєї родини або від партнерів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інтимних стосунках, причому, віком до 15 років потерпають всі сто відсотків; у віці 15-20 років - 62.2%; 20-35 років - 50.0%; після 35 років - 67.3% жінок.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C3FF33F" wp14:editId="2C637FF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022350" cy="1446530"/>
            <wp:effectExtent l="0" t="0" r="6350" b="1270"/>
            <wp:wrapThrough wrapText="bothSides">
              <wp:wrapPolygon edited="0">
                <wp:start x="0" y="0"/>
                <wp:lineTo x="0" y="21335"/>
                <wp:lineTo x="21332" y="21335"/>
                <wp:lineTo x="21332" y="0"/>
                <wp:lineTo x="0" y="0"/>
              </wp:wrapPolygon>
            </wp:wrapThrough>
            <wp:docPr id="6" name="Рисунок 6" descr="GVWJVxoGQ18">
              <a:hlinkClick xmlns:a="http://schemas.openxmlformats.org/drawingml/2006/main" r:id="rId11" tgtFrame="_blank" tooltip="GVWJVxoGQ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VWJVxoGQ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Україна ратифікувала Конвенцію ООН проти катувань та інших жорстоких, нелюдських або таких, що принижують гідність, видів поводження і покарання 1984 р., положення якої розвивають і уточнюють міжнародні стандарти в цій галузі. Відповідно до цієї конвенції Україна визнала, що катування означає будь-яку дію, якою будь-якій особі умисно заподіюються сильний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біль або страждання, фізичне чи моральне, щоб отримати від неї або від третьої особи відомості чи зізнання, покарати її за дії, які вчинила вона або третя особа чи у вчиненні яких вона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ідозрюється, а також залякати чи примусити її або третю особу, чи з будь-якої причини, що ґрунтується на дискримінації будь-якого виду, коли такий біль або страждання заподіюються державними посадовими особами чи іншими особами, які виступають як офіційні, чи з їх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ідбурювання, чи з їх відома, чи за їх мовчазної згоди. Україна є учасницею Конвенції про захист прав і основних свобод людини 1950 р., яка в ст.3 передбачає свободу особи від катувань чи нелюдського або такого, що принижує її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ідність, поводження чи покарання.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 xml:space="preserve">Україна також ратифікувала 24 січня 1997 р. Європейську конвенцію про запобігання тортурам та нелюдському або такому, що принижує гідність, поводженню і покаранню 1987 р., яка не дає визначення </w:t>
      </w:r>
      <w:r w:rsidRPr="00A11BEA">
        <w:rPr>
          <w:rFonts w:ascii="Times New Roman" w:hAnsi="Times New Roman" w:cs="Times New Roman"/>
          <w:sz w:val="24"/>
          <w:szCs w:val="24"/>
        </w:rPr>
        <w:lastRenderedPageBreak/>
        <w:t>катувань, але передбачає дійовий міжнародний механізм реалізації ст.3 Конвенції про захист прав і основних свобод людини.</w:t>
      </w:r>
      <w:proofErr w:type="gramEnd"/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Таким чином, законодавство про попередження насильства в сім'ї наділяє нас досить широкими можливостями щодо звернення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органів та установ за допомогою у ситуації сімейного насильства, що тягне за собою вжиття визначених заходів по його запобіганню. Захист від насильства врегульований навіть на міжнародному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івні, про що свідчать ратифіковані Конвенції. Проте законодавство з питань попередження сімейного насильства стане ефективним інструментом захисту від насильства в родині лише за умови широкого доступу до інформації із проблеми профілактики насильства в сім'ї, плідного співробітництва громадських організацій та органів влади й місцевого самоврядування, а також активної протидії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з нас в цьому принизливому для людської гідності явищу. Немає рецепту на усі випадки життя, тому що ситуації можуть бути дуже-дуже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ізними. У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ізних людей різні духовно-моральні сили, різні можливості. Те, що один може сам осмислити, зрозуміти і змінити ситуацію, інший - не в силах. Але боротися з насиллям просто необхідно для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нормального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повноцінного життя.</w:t>
      </w:r>
    </w:p>
    <w:p w:rsidR="00A11BEA" w:rsidRPr="00A11BEA" w:rsidRDefault="00A11BEA" w:rsidP="00A11BE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1BEA" w:rsidRPr="00A11BEA" w:rsidRDefault="00A11BEA" w:rsidP="00A11BE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1B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Законодавче регулювання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423670" cy="1423670"/>
            <wp:effectExtent l="0" t="0" r="5080" b="508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7" name="Рисунок 7" descr="5">
              <a:hlinkClick xmlns:a="http://schemas.openxmlformats.org/drawingml/2006/main" r:id="rId13" tgtFrame="_blank" tooltip="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EA">
        <w:rPr>
          <w:rFonts w:ascii="Times New Roman" w:hAnsi="Times New Roman" w:cs="Times New Roman"/>
          <w:sz w:val="24"/>
          <w:szCs w:val="24"/>
        </w:rPr>
        <w:t xml:space="preserve">25 вересня 2008 року Верховна Рада прийняла Закон «Про внесення змін до деяких законодавчих актів України щодо вдосконалення законодавства стосовно протидії насильству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сім'ї»[7], що набрав чинності з 1 січня 2009 року.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Цим законом передбачені зміни до Кодексу про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іністративні правопорушення, </w:t>
      </w:r>
      <w:r w:rsidRPr="00A11BEA">
        <w:rPr>
          <w:rFonts w:ascii="Times New Roman" w:hAnsi="Times New Roman" w:cs="Times New Roman"/>
          <w:sz w:val="24"/>
          <w:szCs w:val="24"/>
        </w:rPr>
        <w:lastRenderedPageBreak/>
        <w:t xml:space="preserve">зокрема, ст. ст. 173-2, 262, 263 і 277, та Закону «Про попередження насильства в сім'ї». Серед основних змін – можливість застосування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іністративного арешту на строк до п'яти діб до особи, яка вчинила насильство в сім'ї; розширення переліку осіб, які є членами сім'ї; запровадження здійснення корекційних програм з особами, які винили насильство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сім'ї; виключення положення про відповідальність за віктимну поведінку тощо.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11BEA">
        <w:rPr>
          <w:rFonts w:ascii="Times New Roman" w:hAnsi="Times New Roman" w:cs="Times New Roman"/>
          <w:sz w:val="24"/>
          <w:szCs w:val="24"/>
        </w:rPr>
        <w:t xml:space="preserve">На жаль, положення про виключення штрафу як виду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іністративного стягнення за вчинення насильства в сім'ї, так і не було прийнято до уваги, а навпаки розмір штрафу було збільшено до десяти неоподаткованих мінімумів доходів громадян. Таким чином, більшість проблем знов залишається на плечах потерпілих, а також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 в цілому.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66570" cy="1469390"/>
            <wp:effectExtent l="0" t="0" r="5080" b="0"/>
            <wp:wrapThrough wrapText="bothSides">
              <wp:wrapPolygon edited="0">
                <wp:start x="0" y="0"/>
                <wp:lineTo x="0" y="21283"/>
                <wp:lineTo x="21429" y="21283"/>
                <wp:lineTo x="21429" y="0"/>
                <wp:lineTo x="0" y="0"/>
              </wp:wrapPolygon>
            </wp:wrapThrough>
            <wp:docPr id="8" name="Рисунок 8" descr="pshys2">
              <a:hlinkClick xmlns:a="http://schemas.openxmlformats.org/drawingml/2006/main" r:id="rId15" tgtFrame="_blank" tooltip="pshys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hys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EA">
        <w:rPr>
          <w:rFonts w:ascii="Times New Roman" w:hAnsi="Times New Roman" w:cs="Times New Roman"/>
          <w:sz w:val="24"/>
          <w:szCs w:val="24"/>
        </w:rPr>
        <w:t xml:space="preserve">Виключення із Закону «Про попередження насильства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сім'ї» положення щодо винесення офіційного попередження про неприпустимість віктимної поведінки є позитивним кроком. Оскільки, по суті, попередження є видом стягнення: особа, якій винесено таке попередження ставиться на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ік в ОВС.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По-перше, у попередній редакції Закону висновок про наявність віктимної поведінки робився працівником міліції (дільничним інспектором міліції або працівником кримінальної міліції в справах дітей). Але кваліфікований висновок про наявність у жертви насильства активно-провокуючої віктимної поведінки може бути зроблений лише фахівцем-психологом. Тому працівникові міліції обов'язково слід отримати від психолога спеціалізованої установи висновок про наявність ознак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ідомої та </w:t>
      </w:r>
      <w:r w:rsidRPr="00A11BEA">
        <w:rPr>
          <w:rFonts w:ascii="Times New Roman" w:hAnsi="Times New Roman" w:cs="Times New Roman"/>
          <w:sz w:val="24"/>
          <w:szCs w:val="24"/>
        </w:rPr>
        <w:lastRenderedPageBreak/>
        <w:t xml:space="preserve">навмисної провокуючої поведінки в даної особи для того, щоб винести обґрунтоване офіційне попередження про неприпустимість віктимної поведінки. Такої процедури попередня редакція Закону не передбачала. Більше того, такий механізм є мало реальним у ситуації насильства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11BEA">
        <w:rPr>
          <w:rFonts w:ascii="Times New Roman" w:hAnsi="Times New Roman" w:cs="Times New Roman"/>
          <w:sz w:val="24"/>
          <w:szCs w:val="24"/>
        </w:rPr>
        <w:t xml:space="preserve">По-друге, передбачаючи попередження про неприпустимість віктимної поведінки, відповідальність за вчинення насильства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 автоматично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переклада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ється з особи правопорушника на жертву, що є неприпустимим у контексті дотриманні прав людини.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ід час прийняття законопроекту велися активні дискусії щодо запропонованого законопроектом положення про накладення зобов'язання на осіб, які вчиняють насильство в сім'ї в стані алкогольного або наркотичного сп'яніння, проходити курс лікування від алкоголізму та наркоманії. Проте це положення не знайшло підтримки ні в народних депутатів, ні в представників правозахисної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спільноти через порушення права на повагу до приватного життя особи.</w:t>
      </w:r>
      <w:proofErr w:type="gramEnd"/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1712595" cy="1287780"/>
            <wp:effectExtent l="0" t="0" r="1905" b="7620"/>
            <wp:wrapThrough wrapText="bothSides">
              <wp:wrapPolygon edited="0">
                <wp:start x="0" y="0"/>
                <wp:lineTo x="0" y="21408"/>
                <wp:lineTo x="21384" y="21408"/>
                <wp:lineTo x="21384" y="0"/>
                <wp:lineTo x="0" y="0"/>
              </wp:wrapPolygon>
            </wp:wrapThrough>
            <wp:docPr id="9" name="Рисунок 9" descr="RKPNPqvSqWM">
              <a:hlinkClick xmlns:a="http://schemas.openxmlformats.org/drawingml/2006/main" r:id="rId17" tgtFrame="_blank" tooltip="RKPNPqvSqW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KPNPqvSqW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EA">
        <w:rPr>
          <w:rFonts w:ascii="Times New Roman" w:hAnsi="Times New Roman" w:cs="Times New Roman"/>
          <w:sz w:val="24"/>
          <w:szCs w:val="24"/>
        </w:rPr>
        <w:t>Для ефективної реалізації нових положень Законом передбачено приведення нормативно-правових актів Кабінету Міні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ів, міністерств та інших центральних органів виконавчої влади у відповідність із новим Законом.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цією метою Міністерством у справах сім'ї, молоді та спорту створено робочу групу експертів щодо розробки нових підзаконних нормативно-правових актів щодо попередження насильства в сім'ї. До робочої групи входять представники державних структур, залучених до вирішення проблеми насильства в сім'ї, а також представники громадських організацій.</w:t>
      </w:r>
    </w:p>
    <w:p w:rsidR="00A11BEA" w:rsidRPr="00A11BEA" w:rsidRDefault="00A11BEA" w:rsidP="00A11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Куди звернутися людині, яка зазнала насильства </w:t>
      </w:r>
      <w:proofErr w:type="gramStart"/>
      <w:r w:rsidRPr="00A11B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сім'ї?</w:t>
      </w:r>
    </w:p>
    <w:p w:rsidR="00A11BEA" w:rsidRPr="00296A05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96A05">
        <w:rPr>
          <w:rFonts w:ascii="Times New Roman" w:hAnsi="Times New Roman" w:cs="Times New Roman"/>
          <w:sz w:val="24"/>
          <w:szCs w:val="24"/>
          <w:lang w:val="uk-UA"/>
        </w:rPr>
        <w:t>Відділ попередження насильства в сім'ї та протидії торгівлі людьми Департаменту сімейної та гендерної політики Міністерства України у справах сім'ї, молоді та спорту надає інформацію про те, куди звертатися громадянам, які постраждали від насильства в сім'ї.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b/>
          <w:sz w:val="24"/>
          <w:szCs w:val="24"/>
        </w:rPr>
        <w:t xml:space="preserve">Особа, яка постраждала від насильства </w:t>
      </w:r>
      <w:proofErr w:type="gramStart"/>
      <w:r w:rsidRPr="00A11BE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b/>
          <w:sz w:val="24"/>
          <w:szCs w:val="24"/>
        </w:rPr>
        <w:t xml:space="preserve"> родині, може звернутися до</w:t>
      </w:r>
      <w:r w:rsidRPr="00A11BEA">
        <w:rPr>
          <w:rFonts w:ascii="Times New Roman" w:hAnsi="Times New Roman" w:cs="Times New Roman"/>
          <w:sz w:val="24"/>
          <w:szCs w:val="24"/>
        </w:rPr>
        <w:t>:</w:t>
      </w:r>
    </w:p>
    <w:p w:rsidR="00A11BEA" w:rsidRPr="00A11BEA" w:rsidRDefault="00A11BEA" w:rsidP="00A11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управлінь та відділів у справах сім'ї, молоді та спорту обласних та районних державних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іністрацій;</w:t>
      </w:r>
    </w:p>
    <w:p w:rsidR="00A11BEA" w:rsidRPr="00A11BEA" w:rsidRDefault="00A11BEA" w:rsidP="00A11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відповідних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ідрозділів органів внутрішніх справ - дільничних інспекторів міліції, а якщо це стосується дитини, то до кримінальної міліції у справах дітей;</w:t>
      </w:r>
    </w:p>
    <w:p w:rsidR="00A11BEA" w:rsidRPr="00A11BEA" w:rsidRDefault="00A11BEA" w:rsidP="00A11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центрів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іальних служб для сім'ї, дітей та молоді;</w:t>
      </w:r>
    </w:p>
    <w:p w:rsidR="00A11BEA" w:rsidRPr="00A11BEA" w:rsidRDefault="00A11BEA" w:rsidP="00A11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центрів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іально-психологічної допомоги;</w:t>
      </w:r>
    </w:p>
    <w:p w:rsidR="00A11BEA" w:rsidRPr="00A11BEA" w:rsidRDefault="00A11BEA" w:rsidP="00A11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центрів медико-соціальної реабілітації жертв насильства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сім'ї;</w:t>
      </w:r>
    </w:p>
    <w:p w:rsidR="00A11BEA" w:rsidRPr="00A11BEA" w:rsidRDefault="00A11BEA" w:rsidP="00A11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неурядових організацій, які працюють у сфері запобігання насильству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сім'ї;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482090" cy="989965"/>
            <wp:effectExtent l="0" t="0" r="3810" b="635"/>
            <wp:wrapThrough wrapText="bothSides">
              <wp:wrapPolygon edited="0">
                <wp:start x="0" y="0"/>
                <wp:lineTo x="0" y="21198"/>
                <wp:lineTo x="21378" y="21198"/>
                <wp:lineTo x="21378" y="0"/>
                <wp:lineTo x="0" y="0"/>
              </wp:wrapPolygon>
            </wp:wrapThrough>
            <wp:docPr id="10" name="Рисунок 10" descr="ruki">
              <a:hlinkClick xmlns:a="http://schemas.openxmlformats.org/drawingml/2006/main" r:id="rId19" tgtFrame="_blank" tooltip="ruk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k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EA">
        <w:rPr>
          <w:rFonts w:ascii="Times New Roman" w:hAnsi="Times New Roman" w:cs="Times New Roman"/>
          <w:b/>
          <w:bCs/>
          <w:sz w:val="24"/>
          <w:szCs w:val="24"/>
        </w:rPr>
        <w:t xml:space="preserve">Слід пам'ятати, що відмова у прийняті заяви не </w:t>
      </w:r>
      <w:proofErr w:type="gramStart"/>
      <w:r w:rsidRPr="00A11BEA">
        <w:rPr>
          <w:rFonts w:ascii="Times New Roman" w:hAnsi="Times New Roman" w:cs="Times New Roman"/>
          <w:b/>
          <w:bCs/>
          <w:sz w:val="24"/>
          <w:szCs w:val="24"/>
        </w:rPr>
        <w:t>допускається</w:t>
      </w:r>
      <w:proofErr w:type="gramEnd"/>
      <w:r w:rsidRPr="00A11BEA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У випадку насильства в сі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'ї, внаслідок якого Вас побили й Ви отримали тілесні ушкодження, необхідно: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1. Викликати дільничного інспектора (при цьому обов'язково має бути складено протокол про факт насильства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сім'ї);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2. Дільничний інспектор виносить постанову (направлення) про призначення експертизи.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lastRenderedPageBreak/>
        <w:t>3. Постраждала особа з направленням і документом, який посвідчує особу (паспорт), відвідує установу, яка проводить судово-медичну експертизу.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4. За результатами експертизи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видається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експертний висновок (надсилається органу, який видав направлення на її проведення). За наявності направлення на проведення експертизи від працівника органу внутрішніх справ експертиза проводиться безкоштовно.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5. Якщо у висновку судово-медичної експертизи встановлено, що внаслідок насильства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сім'ї особа отримала тілесні ушкодження (середньої тяжкості, тяжкі) органом внутрішніх справ порушується кримінальна справа.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B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 відсутності направлення посадової особи органу внутрішніх справ постраждала особа має право самостійно звернутися за призначенням судово-медичної експертизи, яка проводиться за плату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b/>
          <w:bCs/>
          <w:sz w:val="24"/>
          <w:szCs w:val="24"/>
        </w:rPr>
        <w:t>Для цього необхідно:</w:t>
      </w:r>
    </w:p>
    <w:p w:rsidR="00A11BEA" w:rsidRPr="00A11BEA" w:rsidRDefault="00A11BEA" w:rsidP="00A11B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Звернутися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установи судово-медичної експертизи</w:t>
      </w:r>
    </w:p>
    <w:p w:rsidR="00A11BEA" w:rsidRPr="00A11BEA" w:rsidRDefault="00A11BEA" w:rsidP="00A11B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Отримання внаслідок насильства в сім'ї тілесних ушкоджень є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ідставою для порушення кримінальної справи та притягнення особи, яка вчинила насильство, до кримінальної відповідальності.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Так, Кримінальним кодексом України встановлено відповідальність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:</w:t>
      </w:r>
    </w:p>
    <w:p w:rsidR="00A11BEA" w:rsidRPr="00A11BEA" w:rsidRDefault="00A11BEA" w:rsidP="00A11BE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завдання умисних середньої тяжкості тілесних ушкоджень (стаття 122);</w:t>
      </w:r>
    </w:p>
    <w:p w:rsidR="00A11BEA" w:rsidRPr="00A11BEA" w:rsidRDefault="00A11BEA" w:rsidP="00A11BE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завдання умисних легких тілесних ушкоджень (стаття 125);</w:t>
      </w:r>
    </w:p>
    <w:p w:rsidR="00A11BEA" w:rsidRPr="00A11BEA" w:rsidRDefault="00A11BEA" w:rsidP="00A11BE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побої і мордування (стаття 126).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A347CD6" wp14:editId="2AA61481">
            <wp:simplePos x="0" y="0"/>
            <wp:positionH relativeFrom="column">
              <wp:posOffset>4939665</wp:posOffset>
            </wp:positionH>
            <wp:positionV relativeFrom="paragraph">
              <wp:posOffset>-5245100</wp:posOffset>
            </wp:positionV>
            <wp:extent cx="1898015" cy="1306195"/>
            <wp:effectExtent l="0" t="0" r="6985" b="8255"/>
            <wp:wrapThrough wrapText="bothSides">
              <wp:wrapPolygon edited="0">
                <wp:start x="0" y="0"/>
                <wp:lineTo x="0" y="21421"/>
                <wp:lineTo x="21463" y="21421"/>
                <wp:lineTo x="21463" y="0"/>
                <wp:lineTo x="0" y="0"/>
              </wp:wrapPolygon>
            </wp:wrapThrough>
            <wp:docPr id="11" name="Рисунок 11" descr="sistemno vektornaia psihologia-21">
              <a:hlinkClick xmlns:a="http://schemas.openxmlformats.org/drawingml/2006/main" r:id="rId21" tgtFrame="_blank" tooltip="sistemno vektornaia psihologia-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stemno vektornaia psihologia-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EA">
        <w:rPr>
          <w:rFonts w:ascii="Times New Roman" w:hAnsi="Times New Roman" w:cs="Times New Roman"/>
          <w:sz w:val="24"/>
          <w:szCs w:val="24"/>
        </w:rPr>
        <w:t>Відповідно до статті 27-ї Кримінально-процесуального кодексу України справи про злочини, передбачені статтями 125-ю та частиною 1 статті 126-ї (побої) Кримінального кодексу, порушуються за скаргою потерпілого.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Відповідно до чинного законодавства експерту забороняється розголошувати без дозволу прокурора, слідчого, особи, яка провадить дізнання, суду дані, які стали йому відомі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ід час проведення експертизи, та повідомляти її результати будь-кому, крім особи (органу), що призначила експертизу (пункт 2.3.3. Інструкції про призначення та проведення судових експертиз та експертних досліджень, затвердженої наказом Міністерства юстиції України від 08.10.98 №53/5).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Якщо Ви звернулися за медичною допомогою, обов'язково розкажіть лікарю як отримана травма. Лікар зафіксує це в медичній картці, що надалі стане доказом в суді про характер отриманих ушкоджень.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Як можна захистити себе у випадку, коли особа, яка вчиняє насильство в сім'ї, алк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або наркозалежна?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Якщо особа, яка вчиняє насильство в сім'ї алк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або наркозалежна, систематично вчиняє насильство і стосовно неї вичерпані всі засоби впливу, можна звернутися до суду за місцем проживання з проханням про примусове її лікування (відповідно до Закону «Про психіатричну допомогу»).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Що передбачено в законодавстві України щодо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іальної роботи з особами, які вчиняють насильство в сім'ї?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25 вересня 2008 року Верховна Рада України прийняла Закон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їни «Про внесення змін до деяких законодавчих актів України </w:t>
      </w:r>
      <w:r w:rsidRPr="00A11BEA">
        <w:rPr>
          <w:rFonts w:ascii="Times New Roman" w:hAnsi="Times New Roman" w:cs="Times New Roman"/>
          <w:sz w:val="24"/>
          <w:szCs w:val="24"/>
        </w:rPr>
        <w:lastRenderedPageBreak/>
        <w:t>щодо вдосконалення законодавства стосовно протидії насильству в сім'ї».</w:t>
      </w:r>
    </w:p>
    <w:p w:rsidR="00A11BEA" w:rsidRPr="00296A05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96A05">
        <w:rPr>
          <w:rFonts w:ascii="Times New Roman" w:hAnsi="Times New Roman" w:cs="Times New Roman"/>
          <w:sz w:val="24"/>
          <w:szCs w:val="24"/>
          <w:lang w:val="uk-UA"/>
        </w:rPr>
        <w:t>Законом розширено перелік осіб, які підпадають під поняття «членів сім'ї», зокрема, члени сім'ї, які не перебувають у шлюбі, але проживають однією сім'єю, їхні діти, а також особи, які перебувають під опікою чи піклуванням, та родичі прямої чи непрямої лінії споріднення за умови спільного проживання.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A05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Позитивним є виключення із Закону статті 11-ї про віктимну поведінку, оскільки відповідальність за неї порушує права людини, яка постраждала від насильства в сім'ї, і є дискримінаційною стосовно жінок. </w:t>
      </w:r>
      <w:r w:rsidRPr="00A11BEA">
        <w:rPr>
          <w:rFonts w:ascii="Times New Roman" w:hAnsi="Times New Roman" w:cs="Times New Roman"/>
          <w:sz w:val="24"/>
          <w:szCs w:val="24"/>
        </w:rPr>
        <w:t xml:space="preserve">Адже переважна кількість постраждалих від насильства –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це ж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інки.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Збільшення терміну обмеження, на який виноситься захисний припис з 30 до 90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діб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B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прийняттям даного закону вводиться новий вид роботи – робота з особами, які вчинили насильство в сім'ї, а саме: проходження ними корекційної програми. Дане нововведення передбача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що проходження такої програми буде запобігати негативним наслідкам насильства в сім'ї та унеможливить або скоротить повторність таких випадків.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За непроходження такої програми в повному обсязі передбачена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іністративна відповідальність за статтею 173-2 Кодексу України про адміністративні правопорушення.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>"Стаття 173-2. Вчинення насильства в сі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'ї, невиконання захисного припису або непроходження корекційної програми. </w:t>
      </w:r>
      <w:r w:rsidRPr="00A11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403225</wp:posOffset>
            </wp:positionV>
            <wp:extent cx="1619885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338" y="21164"/>
                <wp:lineTo x="21338" y="0"/>
                <wp:lineTo x="0" y="0"/>
              </wp:wrapPolygon>
            </wp:wrapThrough>
            <wp:docPr id="12" name="Рисунок 12" descr="Ie1f YgWMG4">
              <a:hlinkClick xmlns:a="http://schemas.openxmlformats.org/drawingml/2006/main" r:id="rId23" tgtFrame="_blank" tooltip="Ie1f YgWMG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e1f YgWMG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BEA">
        <w:rPr>
          <w:rFonts w:ascii="Times New Roman" w:hAnsi="Times New Roman" w:cs="Times New Roman"/>
          <w:sz w:val="24"/>
          <w:szCs w:val="24"/>
        </w:rPr>
        <w:t xml:space="preserve">Вчинення насильства в сім'ї, тобто умисне вчинення будь-яких дій фізичного, психологічного чи економічного характеру (застосування фізичного насильства, що не завдало </w:t>
      </w:r>
      <w:r w:rsidRPr="00A11BEA">
        <w:rPr>
          <w:rFonts w:ascii="Times New Roman" w:hAnsi="Times New Roman" w:cs="Times New Roman"/>
          <w:sz w:val="24"/>
          <w:szCs w:val="24"/>
        </w:rPr>
        <w:lastRenderedPageBreak/>
        <w:t>фізичного болю і не спричинило тілесних ушкоджень, погрози, образи чи переслідування, позбавлення житла, їжі, одягу, іншого майна або коштів, на які потерпілий має передбачене законом право, тощо), внаслідок чого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могла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бути чи була завдана шкода фізичному або психічному здоров'ю потерпілого, а так само невиконання захисного припису особою, стосовно якої він винесений, непроходження корекційної програми особою, яка вчинила насильство в сім'ї, -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тягнуть за собою накладення штрафу від трьох до п'яти неоподатковуваних мінімумів доходів громадян або виправні роботи на строк до одного місяця з відрахуванням двадцяти відсотків заробітку, а в разі якщо за обставинами справи, з урахуванням особи порушника, застосування цих заходів буде визнано недостатнім, -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іністративний арешт на строк до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п'яти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 xml:space="preserve"> діб.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Ті самі дії, вчинені особою, яку протягом року було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іддано адміністративному стягненню за одне з порушень, передбачених частиною першою цієї статті, - тягнуть за собою накладення штрафу від п'яти до десяти неоподатковуваних мінімумів доходів громадян або виправні роботи на строк від одного до двох місяців з відрахуванням двадцяти відсотків заробітку, а в</w:t>
      </w:r>
    </w:p>
    <w:p w:rsidR="00A11BEA" w:rsidRPr="00A11BEA" w:rsidRDefault="00A11BEA" w:rsidP="00A1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EA">
        <w:rPr>
          <w:rFonts w:ascii="Times New Roman" w:hAnsi="Times New Roman" w:cs="Times New Roman"/>
          <w:sz w:val="24"/>
          <w:szCs w:val="24"/>
        </w:rPr>
        <w:t xml:space="preserve">разі якщо за обставинами справи, з урахуванням особи порушника, застосування цих заходів буде визнано недостатнім, - </w:t>
      </w:r>
      <w:proofErr w:type="gramStart"/>
      <w:r w:rsidRPr="00A11BE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11BEA">
        <w:rPr>
          <w:rFonts w:ascii="Times New Roman" w:hAnsi="Times New Roman" w:cs="Times New Roman"/>
          <w:sz w:val="24"/>
          <w:szCs w:val="24"/>
        </w:rPr>
        <w:t>іністративний арешт на строк до п'ятнадцяти діб.</w:t>
      </w:r>
    </w:p>
    <w:p w:rsidR="00AE2E85" w:rsidRDefault="00411095" w:rsidP="00E136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AE2E85" w:rsidSect="00A11BEA">
          <w:pgSz w:w="16838" w:h="11906" w:orient="landscape"/>
          <w:pgMar w:top="850" w:right="1134" w:bottom="1276" w:left="1134" w:header="708" w:footer="708" w:gutter="0"/>
          <w:cols w:num="2" w:space="708"/>
          <w:docGrid w:linePitch="360"/>
        </w:sectPr>
      </w:pPr>
      <w:r w:rsidRPr="001F7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5CDCC" wp14:editId="05E4B7B2">
            <wp:extent cx="1794076" cy="1345558"/>
            <wp:effectExtent l="0" t="0" r="0" b="7620"/>
            <wp:docPr id="26" name="Рисунок 26" descr="https://svetlschool5.ucoz.ru/_nw/0/s1485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etlschool5.ucoz.ru/_nw/0/s1485444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56" cy="135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85" w:rsidRPr="00E1361E" w:rsidRDefault="00AE2E85" w:rsidP="00E136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AE2E85" w:rsidRPr="00E1361E" w:rsidSect="00AE2E85">
          <w:type w:val="continuous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AE2E85" w:rsidRPr="00411095" w:rsidRDefault="00AE2E85" w:rsidP="00E136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E2E85" w:rsidRPr="00411095" w:rsidSect="00AE2E85">
      <w:type w:val="continuous"/>
      <w:pgSz w:w="16838" w:h="11906" w:orient="landscape"/>
      <w:pgMar w:top="850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796"/>
    <w:multiLevelType w:val="multilevel"/>
    <w:tmpl w:val="81A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84541"/>
    <w:multiLevelType w:val="multilevel"/>
    <w:tmpl w:val="2F56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96F94"/>
    <w:multiLevelType w:val="multilevel"/>
    <w:tmpl w:val="7F0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04AAB"/>
    <w:multiLevelType w:val="multilevel"/>
    <w:tmpl w:val="8B3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2E"/>
    <w:rsid w:val="00296A05"/>
    <w:rsid w:val="00411095"/>
    <w:rsid w:val="004637D6"/>
    <w:rsid w:val="0048362E"/>
    <w:rsid w:val="006826CB"/>
    <w:rsid w:val="00A11BEA"/>
    <w:rsid w:val="00AE2E85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llegesnau.com/images/stories/files/2014/11/nas/5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ollegesnau.com/images/stories/files/2014/11/nas/sistemno_vektornaia_psihologia-21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collegesnau.com/images/stories/files/2014/11/nas/RKPNPqvSqWM.jpg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collegesnau.com/images/stories/files/2014/11/nas/photo_big.jpg" TargetMode="External"/><Relationship Id="rId11" Type="http://schemas.openxmlformats.org/officeDocument/2006/relationships/hyperlink" Target="http://collegesnau.com/images/stories/files/2014/11/nas/GVWJVxoGQ18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collegesnau.com/images/stories/files/2014/11/nas/pshys2.jpg" TargetMode="External"/><Relationship Id="rId23" Type="http://schemas.openxmlformats.org/officeDocument/2006/relationships/hyperlink" Target="http://collegesnau.com/images/stories/files/2014/11/nas/Ie1f_YgWMG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ollegesnau.com/images/stories/files/2014/11/nas/ruki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gesnau.com/images/stories/files/2014/11/nas/25ec94daba730710e214d0aac10edd0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5</cp:revision>
  <cp:lastPrinted>2019-12-02T13:13:00Z</cp:lastPrinted>
  <dcterms:created xsi:type="dcterms:W3CDTF">2019-12-01T15:57:00Z</dcterms:created>
  <dcterms:modified xsi:type="dcterms:W3CDTF">2019-12-03T08:00:00Z</dcterms:modified>
</cp:coreProperties>
</file>